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5F" w:rsidRPr="00E5425F" w:rsidRDefault="00E5425F" w:rsidP="00E5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2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2041"/>
        <w:gridCol w:w="884"/>
        <w:gridCol w:w="2362"/>
        <w:gridCol w:w="1584"/>
        <w:gridCol w:w="1371"/>
      </w:tblGrid>
      <w:tr w:rsidR="00956DF8" w:rsidRPr="00E5425F" w:rsidTr="00C26F76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Comité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6F76" w:rsidRDefault="00C26F76" w:rsidP="00C26F7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E5425F" w:rsidRPr="00E5425F" w:rsidRDefault="00E5425F" w:rsidP="00C26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Educación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C26F76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Asunto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6F76" w:rsidRDefault="00C26F76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E5425F" w:rsidRPr="00E5425F" w:rsidRDefault="00E5425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Seguimiento a la Implementación de Compromiso, PAL 2017</w:t>
            </w:r>
          </w:p>
        </w:tc>
        <w:tc>
          <w:tcPr>
            <w:tcW w:w="0" w:type="auto"/>
            <w:vMerge w:val="restart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25F" w:rsidRPr="00E5425F" w:rsidRDefault="00E5425F" w:rsidP="00C26F76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Coordinador de la reunión</w:t>
            </w:r>
          </w:p>
        </w:tc>
        <w:tc>
          <w:tcPr>
            <w:tcW w:w="0" w:type="auto"/>
            <w:vMerge w:val="restart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6F76" w:rsidRDefault="00C26F76" w:rsidP="00C26F7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C26F76" w:rsidRDefault="00C26F76" w:rsidP="00C26F7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E5425F" w:rsidRPr="00E5425F" w:rsidRDefault="00E5425F" w:rsidP="00C26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Luis Alberto Ramírez de la Barreda</w:t>
            </w:r>
          </w:p>
        </w:tc>
      </w:tr>
      <w:tr w:rsidR="00956DF8" w:rsidRPr="00E5425F" w:rsidTr="00C26F76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Lugar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956DF8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Despacho, </w:t>
            </w:r>
            <w:r w:rsidR="00E5425F" w:rsidRPr="00E542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Subsecretaría de Planeación y Evaluación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Hora inicio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25F" w:rsidRPr="00E5425F" w:rsidRDefault="007961BE" w:rsidP="00C26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13</w:t>
            </w:r>
            <w:r w:rsidR="00E5425F" w:rsidRPr="00E542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:00</w:t>
            </w:r>
          </w:p>
        </w:tc>
        <w:tc>
          <w:tcPr>
            <w:tcW w:w="0" w:type="auto"/>
            <w:vMerge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E5425F" w:rsidRPr="00E5425F" w:rsidRDefault="00E5425F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E5425F" w:rsidRPr="00E5425F" w:rsidRDefault="00E5425F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56DF8" w:rsidRPr="00E5425F" w:rsidTr="00C26F76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25F" w:rsidRPr="00E5425F" w:rsidRDefault="00C26F76" w:rsidP="00C26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 de junio</w:t>
            </w:r>
            <w:r w:rsidR="00E5425F" w:rsidRPr="00E542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de 2017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Hora fin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25F" w:rsidRPr="00E5425F" w:rsidRDefault="00E5425F" w:rsidP="00C26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  <w:r w:rsidR="00796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  <w:r w:rsidR="00956D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:00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Reunión no.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25F" w:rsidRPr="00E5425F" w:rsidRDefault="00C26F76" w:rsidP="00C26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</w:tbl>
    <w:p w:rsidR="00E5425F" w:rsidRDefault="00E5425F" w:rsidP="00E5425F">
      <w:pPr>
        <w:spacing w:after="0" w:line="240" w:lineRule="auto"/>
        <w:jc w:val="both"/>
      </w:pPr>
    </w:p>
    <w:p w:rsidR="00E5425F" w:rsidRPr="00E5425F" w:rsidRDefault="00E5425F" w:rsidP="00E5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2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9498" w:type="dxa"/>
        <w:tblInd w:w="-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2949"/>
        <w:gridCol w:w="3828"/>
        <w:gridCol w:w="410"/>
        <w:gridCol w:w="440"/>
      </w:tblGrid>
      <w:tr w:rsidR="00E5425F" w:rsidRPr="00E5425F" w:rsidTr="00624272">
        <w:tc>
          <w:tcPr>
            <w:tcW w:w="8648" w:type="dxa"/>
            <w:gridSpan w:val="3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Asistentes</w:t>
            </w:r>
          </w:p>
        </w:tc>
        <w:tc>
          <w:tcPr>
            <w:tcW w:w="850" w:type="dxa"/>
            <w:gridSpan w:val="2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Asistencia</w:t>
            </w:r>
          </w:p>
        </w:tc>
      </w:tr>
      <w:tr w:rsidR="00624272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FE5CFB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Nombre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Área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Teléfono y Correo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Sí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No</w:t>
            </w:r>
          </w:p>
        </w:tc>
      </w:tr>
      <w:tr w:rsidR="00E5425F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Carolina Toro Morales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Subsecretaria de Planeación y Evaluación, SUBSEPLAN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carolina.toro</w:t>
            </w: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@jalisco.gob.mx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E5425F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D10DA2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 Villarruel Reynoso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D10DA2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Director Académico CECyTe Jalisco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D10DA2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Daniel.villarruel@cecytejalisco.mx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E5425F" w:rsidRPr="00E5425F" w:rsidTr="00624272">
        <w:trPr>
          <w:trHeight w:val="667"/>
        </w:trPr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D10DA2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Oscar Hernández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D10DA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E5425F">
              <w:rPr>
                <w:rFonts w:eastAsia="Times New Roman" w:cstheme="minorHAnsi"/>
                <w:sz w:val="20"/>
                <w:szCs w:val="20"/>
                <w:lang w:eastAsia="es-ES"/>
              </w:rPr>
              <w:t>Director</w:t>
            </w:r>
            <w:r w:rsidR="00D10DA2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Académico Educación Media Superior</w:t>
            </w:r>
            <w:r w:rsidR="00624272">
              <w:rPr>
                <w:rFonts w:eastAsia="Times New Roman" w:cstheme="minorHAnsi"/>
                <w:sz w:val="20"/>
                <w:szCs w:val="20"/>
                <w:lang w:eastAsia="es-ES"/>
              </w:rPr>
              <w:t>, SEJ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D10DA2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Gerardo.hernandez</w:t>
            </w:r>
            <w:r w:rsid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@jalisco.gob.mx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D10DA2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Default="00D10DA2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José María Ceballos Cruz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Pr="00E5425F" w:rsidRDefault="00D10DA2" w:rsidP="00D10DA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Director Académico CONALEP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Default="00D10DA2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Josemaria.ceballos@conalepjalisco.edu.mx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Pr="00E5425F" w:rsidRDefault="00D10DA2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Pr="00E5425F" w:rsidRDefault="00D10DA2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D10DA2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Default="00D10DA2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Ildefonso Iglesias Escudero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Pr="00E5425F" w:rsidRDefault="00D10DA2" w:rsidP="00D10DA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Director General CONALEP Jalisco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Default="00D10DA2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Ildefonso.iglesias@conalepjalisco.edu.mx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Pr="00E5425F" w:rsidRDefault="00D10DA2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Pr="00E5425F" w:rsidRDefault="00D10DA2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D10DA2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Default="00D10DA2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Ma. Yesenia Galván B</w:t>
            </w:r>
            <w:r w:rsidR="00FE5CFB">
              <w:rPr>
                <w:rFonts w:eastAsia="Times New Roman" w:cstheme="minorHAnsi"/>
                <w:sz w:val="20"/>
                <w:szCs w:val="20"/>
                <w:lang w:eastAsia="es-ES"/>
              </w:rPr>
              <w:t>eltrán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Default="00D10DA2" w:rsidP="00D10DA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Coordinadora de Administración</w:t>
            </w:r>
            <w:r w:rsidR="00FE5CFB">
              <w:rPr>
                <w:rFonts w:eastAsia="Times New Roman" w:cstheme="minorHAnsi"/>
                <w:sz w:val="20"/>
                <w:szCs w:val="20"/>
                <w:lang w:eastAsia="es-ES"/>
              </w:rPr>
              <w:t>, SE</w:t>
            </w:r>
            <w:r w:rsidR="00624272">
              <w:rPr>
                <w:rFonts w:eastAsia="Times New Roman" w:cstheme="minorHAnsi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Default="00FE5CFB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Yesenia.galvan@jalisco.gob.mx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Pr="00E5425F" w:rsidRDefault="00FE5CFB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Pr="00E5425F" w:rsidRDefault="00D10DA2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D10DA2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Default="00FE5CFB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Stephen Birtwistle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Default="00FE5CFB" w:rsidP="00D10DA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Enlace Gobierno Abierto, Corporativa de Fundaciones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Default="00FE5CFB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sabirtwistle@gmail.com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Pr="00E5425F" w:rsidRDefault="00FE5CFB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0DA2" w:rsidRPr="00E5425F" w:rsidRDefault="00D10DA2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FE5CFB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FB" w:rsidRDefault="00FE5CFB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Manuel Sánchez Ramírez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FB" w:rsidRDefault="00624272" w:rsidP="00D10DA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Coordinador de programa CIFS, ITESO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FB" w:rsidRDefault="00624272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msanchez@iteso.mx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FB" w:rsidRDefault="0069473A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FB" w:rsidRPr="00E5425F" w:rsidRDefault="00FE5CFB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FE5CFB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FB" w:rsidRDefault="00624272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Martha Pereira M.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FB" w:rsidRDefault="00624272" w:rsidP="00D10DA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Coordinadora de Investigación, Mexicanos Primero Jalisco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FB" w:rsidRDefault="00624272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mpereira@mpj.org.mx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FB" w:rsidRDefault="0069473A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CFB" w:rsidRPr="00E5425F" w:rsidRDefault="00FE5CFB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9473A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Benjamín Manzano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D10DA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Director, Mexicanos Primero Jalisco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benjaminmanzano@hotmail.com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Pr="00E5425F" w:rsidRDefault="0069473A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9473A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María Bezanilla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D10DA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Directora, Fundación EDUCO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mariabezanilla@fundacioneduco.mx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Pr="00E5425F" w:rsidRDefault="0069473A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9473A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Javier Castañeda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D10DA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Presidente, Comisión de Educación, COPARMEX Jalisco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fcastane@up.edu.mx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Pr="00E5425F" w:rsidRDefault="0069473A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9473A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Daniel Romero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D10DA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Coordinador de Vinculación, Universidad Panamericana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dromero@up.edu.mx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Pr="00E5425F" w:rsidRDefault="0069473A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9473A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Juan José del Toro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D10DA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Codeando Guadalajara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jdeltoro@gmail.com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Default="0069473A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73A" w:rsidRPr="00E5425F" w:rsidRDefault="0069473A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73561F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61F" w:rsidRDefault="0073561F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Héctor Hernández 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61F" w:rsidRDefault="0073561F" w:rsidP="00D10DA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Coordinador de Gestión Regional, SUBSEPLAN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61F" w:rsidRDefault="008E109F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</w:t>
            </w:r>
            <w:r w:rsidR="0073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hectorg77@gmail.com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61F" w:rsidRDefault="0073561F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61F" w:rsidRPr="00E5425F" w:rsidRDefault="0073561F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E5425F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Orión Arturo Flores Camacho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Secretario Técnico, </w:t>
            </w: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SUBSEPLAN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orionflores1@gmail.com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E5425F">
              <w:rPr>
                <w:rFonts w:eastAsia="Times New Roman" w:cstheme="minorHAnsi"/>
                <w:lang w:eastAsia="es-ES"/>
              </w:rPr>
              <w:t>X</w:t>
            </w:r>
            <w:r w:rsidRPr="00E5425F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5425F" w:rsidRPr="00E5425F" w:rsidTr="00624272">
        <w:tc>
          <w:tcPr>
            <w:tcW w:w="187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Luis Alberto Ramírez de la Barreda</w:t>
            </w:r>
          </w:p>
        </w:tc>
        <w:tc>
          <w:tcPr>
            <w:tcW w:w="294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Coordinador de Gobierno Abierto, </w:t>
            </w: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SUBSEPLAN</w:t>
            </w:r>
          </w:p>
        </w:tc>
        <w:tc>
          <w:tcPr>
            <w:tcW w:w="382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luis.ramírez.barreda@gmail.com</w:t>
            </w:r>
          </w:p>
        </w:tc>
        <w:tc>
          <w:tcPr>
            <w:tcW w:w="4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4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C4397B" w:rsidRPr="00C4397B" w:rsidRDefault="00C4397B" w:rsidP="00C4397B">
      <w:pPr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1"/>
        <w:gridCol w:w="1251"/>
        <w:gridCol w:w="1496"/>
      </w:tblGrid>
      <w:tr w:rsidR="00C4397B" w:rsidRPr="00C4397B" w:rsidTr="00C4397B">
        <w:tc>
          <w:tcPr>
            <w:tcW w:w="0" w:type="auto"/>
            <w:gridSpan w:val="3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C4397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Agenda</w:t>
            </w:r>
          </w:p>
        </w:tc>
      </w:tr>
      <w:tr w:rsidR="0069473A" w:rsidRPr="00C4397B" w:rsidTr="00C4397B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C4397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Tema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C4397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Responsable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C4397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Tiempo de exposición</w:t>
            </w:r>
          </w:p>
        </w:tc>
      </w:tr>
      <w:tr w:rsidR="0069473A" w:rsidRPr="00C4397B" w:rsidTr="00C4397B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69473A" w:rsidP="006947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Primera reunión para coordinación, seguimiento y fortalecimiento del compromiso 6 del Plan de Acción Local de Gobierno Abierto Jalisco 2016-2018.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C4397B" w:rsidRDefault="00C4397B"/>
    <w:p w:rsidR="00C4397B" w:rsidRPr="00C4397B" w:rsidRDefault="00C4397B" w:rsidP="00C4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397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8"/>
      </w:tblGrid>
      <w:tr w:rsidR="00B7555F" w:rsidRPr="00C4397B" w:rsidTr="00C4397B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C4397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Desarrollo de la Reunión</w:t>
            </w:r>
          </w:p>
        </w:tc>
      </w:tr>
      <w:tr w:rsidR="00B7555F" w:rsidRPr="00C4397B" w:rsidTr="00C4397B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Default="00B7555F" w:rsidP="00C4397B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La reunión inicia con una ronda de presentación entre los participantes. Orión Flores, Secretario Técnico de la Subsecretaría de Planeación y Evaluación (SUBSEPLAN) da lectura al orden del día y explicando el motivo de la reunión de trabajo. El primer semestre del año se llevó a cabo una etapa de planeación interna, coordinada por la Secretaría de Educación Jalisco, con insumos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 xml:space="preserve">SUBSEPLAN y COPARMEX Jalisco. A partir de esta reunión de trabajo, nuevos actores de </w:t>
            </w:r>
            <w:r w:rsidR="008A09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sociedad civil se sumarán al compromiso para enriquecer su implementación.</w:t>
            </w:r>
          </w:p>
          <w:p w:rsidR="00B7555F" w:rsidRDefault="00B7555F" w:rsidP="00C4397B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Luis Alberto Ramírez, Coordinador de Gobierno Abierto de SUBSEPLAN comparte con los integrantes el proceso de creación del compromiso</w:t>
            </w:r>
            <w:r w:rsidR="00AF3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en las mesas de trabajo el pasado 14 de noviembre de 2017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el marco internacional dentro del cual se le da seguimiento</w:t>
            </w:r>
            <w:r w:rsidR="005D2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(OGP)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y el estado actual del mismo.</w:t>
            </w:r>
          </w:p>
          <w:p w:rsidR="008A0900" w:rsidRDefault="008A0900" w:rsidP="00C4397B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Yesenia Galván, Coordinadora de Administración de la SEJ hace uso de la palabra para presentar los trabajos realizados por el equipo de la SEJ.</w:t>
            </w:r>
            <w:r w:rsidR="00AF3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Comparte la ubicación de los primeros centros de educación media superior que serán construidos en 2017: Lagos de Moreno, San Juan de los Lagos y Tala. El compromiso tiene como ob</w:t>
            </w:r>
            <w:r w:rsidR="005D2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jetivo construir 10 escuelas en 2017 y 2018.</w:t>
            </w:r>
          </w:p>
          <w:p w:rsidR="008A0900" w:rsidRDefault="008A0900" w:rsidP="00C4397B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Hace uso de la voz al Mtro. Ildefonso Iglesias, Director General de CONALEP Jalisco inicia comentando el caso específico de la oferta educativa en la región Altos Norte y su alineación con el sector productivo. Los estudios indican que la región necesita mano de obra calificada para el sector automotriz. Los centro</w:t>
            </w:r>
            <w:r w:rsidR="00AF3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CONALEP buscan financiamiento para construir talle</w:t>
            </w:r>
            <w:r w:rsidR="00AF3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res especializados en esta rama y así sumar a Jalisco en el corredor industrial automotriz. Actualmente se ha firmado un convenio con la Agencia Japonesa de Cooperación Internacional (JICA)</w:t>
            </w:r>
          </w:p>
          <w:p w:rsidR="008A0900" w:rsidRDefault="00AF3B34" w:rsidP="00C4397B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Manuel Sánchez de ITESO sugiere explorar alianza para apoyos con Honda y Toyota.</w:t>
            </w:r>
          </w:p>
          <w:p w:rsidR="00AF3B34" w:rsidRPr="00AF3B34" w:rsidRDefault="00AF3B34" w:rsidP="00C4397B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Benjamín Manzano de Mexicanos Primero Jalisco sugiere buscar apoyo federal a través del programa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s-ES"/>
              </w:rPr>
              <w:t>Escuelas al cien.</w:t>
            </w:r>
          </w:p>
          <w:p w:rsidR="005D2755" w:rsidRDefault="00AF3B34" w:rsidP="005D2755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Javier Castañeda de COPARMEX Jalisco hace mención a una nota publicada en el diario El Informador. La nota habla de la reducción de inversión extranjera en el ramo automotriz en Jalisco a consecuencia de falta de mano de obra calificada.</w:t>
            </w:r>
          </w:p>
          <w:p w:rsidR="005D2755" w:rsidRDefault="005D2755" w:rsidP="00E7101D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 Villarruel, Director Académico de CECyTe Jalisco presenta los estudios realizados en la región Valles y Altos Norte para identificar el vocacionamiento productivo con el cual los</w:t>
            </w:r>
            <w:r w:rsidR="00E710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planteles a construir en Tala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 Lagos de Moreno</w:t>
            </w:r>
            <w:r w:rsidR="00E710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 Con base en dichos estudios se pretende que la oferta educativa en Tala sea de Biotecnología y Producción Industrial de Alimentos, y que en Lagos de Moreno sean las carreras de Autotrónica y Electromecánica.</w:t>
            </w:r>
          </w:p>
          <w:p w:rsidR="00E7101D" w:rsidRDefault="00E7101D" w:rsidP="00E7101D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María Bezanilla de Fundación Educo hace énfasis en la importancia de definir bien la oferta educativa y compartir los planes de estudio para así, su organización acercar a jóvenes a estos centros de estudio.</w:t>
            </w:r>
          </w:p>
          <w:p w:rsidR="00E7101D" w:rsidRDefault="00E7101D" w:rsidP="00E7101D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Juan José del Toro de Codeando Guadalajara presenta una plataforma digital que permite al usuario visualizar en un mapa la ubicación de las preparatorias que serán construidas y la actividad económica de la zona que los rodea. La información proviene de la base de datos DENUE del INEGI.</w:t>
            </w:r>
          </w:p>
          <w:p w:rsidR="00E7101D" w:rsidRDefault="0073561F" w:rsidP="00E7101D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Martha Pereira de Mexicanos Primero Jalisco comenta la importancia del tema ecológico en el estado y sugiere explorar la posibilidad de incluir carreras enfocadas en esta rama en los nuevos centros que serán construidos. El Mtro. Iglesias de CONALEP menciona que existe una carrera similar a nivel CONALEP nacional llamada “Fuentes Alternativas de Energía.” Podría traerse a Jalisco si se hacen las gestiones necesarias.</w:t>
            </w:r>
          </w:p>
          <w:p w:rsidR="0073561F" w:rsidRDefault="0073561F" w:rsidP="00E7101D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Héctor</w:t>
            </w:r>
            <w:r w:rsidR="008E1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Hernández de SUBSEPLAN presenta el estudio realizado en la dependencia con el SIG (sistema de información geográfica), abarcando temas de análisis geográfico, económico y social de las ciudades donde las preparatorias serán construidas. </w:t>
            </w:r>
          </w:p>
          <w:p w:rsidR="008E109F" w:rsidRDefault="008E109F" w:rsidP="00E7101D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Orión Flores presenta los resultados de las consultas regionales que se hicieron a los Comités Regionales de Planeación para el Desarrollo (COPLADE) en la región Altos Norte y la región Valles. La información recabada se alinea con los estudios realizados por la Secretaría de Educación de Jalisco.</w:t>
            </w:r>
          </w:p>
          <w:p w:rsidR="00B54360" w:rsidRDefault="00B54360" w:rsidP="00E7101D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Codeando Guadalajara pide a SEJ la posibilidad de usar su espacio en el Campus Party durante dos horas para realizar un </w:t>
            </w:r>
            <w:r w:rsidRPr="00B5436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s-ES"/>
              </w:rPr>
              <w:t>hackathon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y transformar una base de datos en información más digerible.</w:t>
            </w:r>
          </w:p>
          <w:p w:rsidR="008E109F" w:rsidRDefault="00A66277" w:rsidP="00E7101D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Carolina Toro Morales, Subsecretaria de Planeación y Evaluación aprovecha el uso de la palabra para agradecer a los participantes y generar acuerdos para la siguiente reunión (los acuerdos se enlistan en la siguiente sección).</w:t>
            </w:r>
          </w:p>
          <w:p w:rsidR="003B11D0" w:rsidRPr="005D2755" w:rsidRDefault="003B11D0" w:rsidP="00E7101D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Siguiente reunión se llevará a cabo el martes 27 de junio de 2017, a las 11:00 horas en la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SUBSEPLAN.</w:t>
            </w:r>
          </w:p>
        </w:tc>
      </w:tr>
    </w:tbl>
    <w:p w:rsidR="00E5425F" w:rsidRDefault="00E5425F"/>
    <w:p w:rsidR="00956DF8" w:rsidRDefault="00956DF8"/>
    <w:p w:rsidR="00956DF8" w:rsidRDefault="00956DF8"/>
    <w:p w:rsidR="00956DF8" w:rsidRDefault="00956DF8"/>
    <w:p w:rsidR="00956DF8" w:rsidRDefault="00956DF8"/>
    <w:p w:rsidR="00956DF8" w:rsidRDefault="00956DF8"/>
    <w:p w:rsidR="00956DF8" w:rsidRPr="00956DF8" w:rsidRDefault="00956DF8" w:rsidP="0095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56DF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2295"/>
        <w:gridCol w:w="1412"/>
        <w:gridCol w:w="1476"/>
      </w:tblGrid>
      <w:tr w:rsidR="00956DF8" w:rsidRPr="00956DF8" w:rsidTr="00956DF8">
        <w:tc>
          <w:tcPr>
            <w:tcW w:w="0" w:type="auto"/>
            <w:gridSpan w:val="4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DF8" w:rsidRPr="00956DF8" w:rsidRDefault="00956DF8" w:rsidP="00956DF8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56D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4BC96"/>
                <w:lang w:eastAsia="es-ES"/>
              </w:rPr>
              <w:t>Acuerdos y Compromisos pendientes de revisar estatus Reunión</w:t>
            </w:r>
          </w:p>
        </w:tc>
      </w:tr>
      <w:tr w:rsidR="003B11D0" w:rsidRPr="00956DF8" w:rsidTr="00956DF8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DF8" w:rsidRPr="00956DF8" w:rsidRDefault="00956DF8" w:rsidP="00956DF8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56D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DD9C3"/>
                <w:lang w:eastAsia="es-ES"/>
              </w:rPr>
              <w:t>Actividad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DF8" w:rsidRPr="00956DF8" w:rsidRDefault="00956DF8" w:rsidP="00956DF8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56D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DD9C3"/>
                <w:lang w:eastAsia="es-ES"/>
              </w:rPr>
              <w:t>Responsable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DF8" w:rsidRPr="00956DF8" w:rsidRDefault="00956DF8" w:rsidP="00956DF8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56D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DD9C3"/>
                <w:lang w:eastAsia="es-ES"/>
              </w:rPr>
              <w:t>Fecha  de Entrega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DF8" w:rsidRPr="00956DF8" w:rsidRDefault="00956DF8" w:rsidP="00956DF8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56D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DD9C3"/>
                <w:lang w:eastAsia="es-ES"/>
              </w:rPr>
              <w:t>Observaciones</w:t>
            </w:r>
          </w:p>
        </w:tc>
      </w:tr>
      <w:tr w:rsidR="003B11D0" w:rsidRPr="00956DF8" w:rsidTr="00956DF8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DF8" w:rsidRPr="00956DF8" w:rsidRDefault="00956DF8" w:rsidP="00956D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Enviar minuta, plan de trabajo</w:t>
            </w:r>
            <w:r w:rsidR="003B11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e información relevante al compromiso,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y convocar siguiente reunión.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DF8" w:rsidRPr="00956DF8" w:rsidRDefault="00956DF8" w:rsidP="00956DF8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56D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Luis Alberto Ramírez de la Barreda</w:t>
            </w:r>
            <w:r w:rsidR="003B11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SUBSEPLAN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DF8" w:rsidRPr="00956DF8" w:rsidRDefault="003B11D0" w:rsidP="00956D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23/06</w:t>
            </w:r>
            <w:r w:rsidR="00956DF8" w:rsidRPr="00956D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/2017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DF8" w:rsidRPr="00956DF8" w:rsidRDefault="00956DF8" w:rsidP="0095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3B11D0" w:rsidRPr="00956DF8" w:rsidTr="00956DF8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DF8" w:rsidRPr="003B11D0" w:rsidRDefault="003B11D0" w:rsidP="00956DF8">
            <w:pPr>
              <w:spacing w:after="0" w:line="0" w:lineRule="atLeast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Compartir calendario de entrega de planteles en la próxima reunión.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DF8" w:rsidRPr="00956DF8" w:rsidRDefault="003B11D0" w:rsidP="00956DF8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Secretaría de Educación Jalisco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DF8" w:rsidRPr="00956DF8" w:rsidRDefault="003B11D0" w:rsidP="00956DF8">
            <w:pPr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27/06</w:t>
            </w:r>
            <w:r w:rsidR="00956DF8" w:rsidRPr="00956D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/2017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6DF8" w:rsidRPr="00956DF8" w:rsidRDefault="00956DF8" w:rsidP="0095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3B11D0" w:rsidRPr="00956DF8" w:rsidTr="00956DF8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D0" w:rsidRDefault="003B11D0" w:rsidP="00956DF8">
            <w:pPr>
              <w:spacing w:after="0" w:line="0" w:lineRule="atLeast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Visualizar la documentación del compromiso y generar una propuesta.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D0" w:rsidRDefault="003B11D0" w:rsidP="00956DF8">
            <w:pPr>
              <w:spacing w:after="0" w:line="0" w:lineRule="atLeast"/>
              <w:ind w:lef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SUBSEPLAN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D0" w:rsidRDefault="003B11D0" w:rsidP="00956DF8">
            <w:pPr>
              <w:spacing w:after="0" w:line="0" w:lineRule="atLeast"/>
              <w:ind w:left="8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27/06/2017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D0" w:rsidRPr="00956DF8" w:rsidRDefault="003B11D0" w:rsidP="0095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956DF8" w:rsidRDefault="00956DF8"/>
    <w:sectPr w:rsidR="00956DF8" w:rsidSect="00956DF8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61" w:rsidRDefault="00CB2861" w:rsidP="00956DF8">
      <w:pPr>
        <w:spacing w:after="0" w:line="240" w:lineRule="auto"/>
      </w:pPr>
      <w:r>
        <w:separator/>
      </w:r>
    </w:p>
  </w:endnote>
  <w:endnote w:type="continuationSeparator" w:id="1">
    <w:p w:rsidR="00CB2861" w:rsidRDefault="00CB2861" w:rsidP="0095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F8" w:rsidRDefault="00956DF8">
    <w:pPr>
      <w:pStyle w:val="Piedepgina"/>
    </w:pPr>
    <w:r w:rsidRPr="00956DF8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-1084939</wp:posOffset>
          </wp:positionH>
          <wp:positionV relativeFrom="paragraph">
            <wp:posOffset>-278103</wp:posOffset>
          </wp:positionV>
          <wp:extent cx="7773228" cy="103367"/>
          <wp:effectExtent l="19050" t="0" r="0" b="0"/>
          <wp:wrapNone/>
          <wp:docPr id="1" name="Imagen 2" descr="DEMU-Charly:Users:DEMUCharly:ownCloud:DEMU-CLOUD:Identidad-Planeación (1):cintil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DEMU-Charly:Users:DEMUCharly:ownCloud:DEMU-CLOUD:Identidad-Planeación (1):cintil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228" cy="103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61" w:rsidRDefault="00CB2861" w:rsidP="00956DF8">
      <w:pPr>
        <w:spacing w:after="0" w:line="240" w:lineRule="auto"/>
      </w:pPr>
      <w:r>
        <w:separator/>
      </w:r>
    </w:p>
  </w:footnote>
  <w:footnote w:type="continuationSeparator" w:id="1">
    <w:p w:rsidR="00CB2861" w:rsidRDefault="00CB2861" w:rsidP="0095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F8" w:rsidRDefault="00956DF8">
    <w:pPr>
      <w:pStyle w:val="Encabezado"/>
    </w:pPr>
    <w:r w:rsidRPr="00956DF8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1201889</wp:posOffset>
          </wp:positionH>
          <wp:positionV relativeFrom="paragraph">
            <wp:posOffset>-330311</wp:posOffset>
          </wp:positionV>
          <wp:extent cx="2472856" cy="771277"/>
          <wp:effectExtent l="0" t="0" r="0" b="0"/>
          <wp:wrapNone/>
          <wp:docPr id="2" name="Imagen 1" descr="C:\Users\Informatica_2\Pictures\Isologo Secretariado Técnico de Gobierno Abierto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C:\Users\Informatica_2\Pictures\Isologo Secretariado Técnico de Gobierno Abierto-0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856" cy="771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0068"/>
    <w:multiLevelType w:val="multilevel"/>
    <w:tmpl w:val="E5B2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5425F"/>
    <w:rsid w:val="00257073"/>
    <w:rsid w:val="003B11D0"/>
    <w:rsid w:val="005D2755"/>
    <w:rsid w:val="00624272"/>
    <w:rsid w:val="0069473A"/>
    <w:rsid w:val="0073561F"/>
    <w:rsid w:val="00747C25"/>
    <w:rsid w:val="007961BE"/>
    <w:rsid w:val="008A0900"/>
    <w:rsid w:val="008E109F"/>
    <w:rsid w:val="00956DF8"/>
    <w:rsid w:val="00A66277"/>
    <w:rsid w:val="00AF3B34"/>
    <w:rsid w:val="00B54360"/>
    <w:rsid w:val="00B7555F"/>
    <w:rsid w:val="00C26F76"/>
    <w:rsid w:val="00C4397B"/>
    <w:rsid w:val="00CB2861"/>
    <w:rsid w:val="00D10DA2"/>
    <w:rsid w:val="00E524B2"/>
    <w:rsid w:val="00E5425F"/>
    <w:rsid w:val="00E7101D"/>
    <w:rsid w:val="00F80277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25"/>
  </w:style>
  <w:style w:type="paragraph" w:styleId="Ttulo1">
    <w:name w:val="heading 1"/>
    <w:basedOn w:val="Normal"/>
    <w:link w:val="Ttulo1Car"/>
    <w:uiPriority w:val="9"/>
    <w:qFormat/>
    <w:rsid w:val="00E54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42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E5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56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6DF8"/>
  </w:style>
  <w:style w:type="paragraph" w:styleId="Piedepgina">
    <w:name w:val="footer"/>
    <w:basedOn w:val="Normal"/>
    <w:link w:val="PiedepginaCar"/>
    <w:uiPriority w:val="99"/>
    <w:semiHidden/>
    <w:unhideWhenUsed/>
    <w:rsid w:val="00956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6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836B-4F6F-4317-A03A-E09146F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Ramirez</dc:creator>
  <cp:lastModifiedBy>Luis Alberto Ramirez</cp:lastModifiedBy>
  <cp:revision>8</cp:revision>
  <dcterms:created xsi:type="dcterms:W3CDTF">2017-06-21T18:43:00Z</dcterms:created>
  <dcterms:modified xsi:type="dcterms:W3CDTF">2017-06-21T22:12:00Z</dcterms:modified>
</cp:coreProperties>
</file>